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049" w:type="dxa"/>
        <w:tblInd w:w="13" w:type="dxa"/>
        <w:tblCellMar>
          <w:left w:w="28" w:type="dxa"/>
          <w:right w:w="28" w:type="dxa"/>
        </w:tblCellMar>
        <w:tblLook w:val="04A0" w:firstRow="1" w:lastRow="0" w:firstColumn="1" w:lastColumn="0" w:noHBand="0" w:noVBand="1"/>
      </w:tblPr>
      <w:tblGrid>
        <w:gridCol w:w="14049"/>
      </w:tblGrid>
      <w:tr w:rsidR="008A615B" w:rsidRPr="008A615B" w14:paraId="3C637D22" w14:textId="77777777" w:rsidTr="00023650">
        <w:trPr>
          <w:trHeight w:val="330"/>
        </w:trPr>
        <w:tc>
          <w:tcPr>
            <w:tcW w:w="14049" w:type="dxa"/>
            <w:tcBorders>
              <w:top w:val="nil"/>
              <w:left w:val="nil"/>
              <w:bottom w:val="nil"/>
              <w:right w:val="nil"/>
            </w:tcBorders>
            <w:shd w:val="clear" w:color="auto" w:fill="auto"/>
            <w:noWrap/>
            <w:vAlign w:val="bottom"/>
            <w:hideMark/>
          </w:tcPr>
          <w:p w14:paraId="5788F673" w14:textId="77777777" w:rsidR="008A615B" w:rsidRPr="00C962D4" w:rsidRDefault="00C962D4" w:rsidP="00C962D4">
            <w:pPr>
              <w:widowControl/>
              <w:jc w:val="center"/>
              <w:rPr>
                <w:rFonts w:ascii="Times New Roman" w:eastAsia="標楷體" w:hAnsi="Times New Roman" w:cs="Times New Roman"/>
                <w:color w:val="000000"/>
                <w:kern w:val="0"/>
                <w:sz w:val="32"/>
                <w:szCs w:val="32"/>
              </w:rPr>
            </w:pPr>
            <w:r w:rsidRPr="00C962D4">
              <w:rPr>
                <w:rFonts w:ascii="Times New Roman" w:eastAsia="標楷體" w:hAnsi="Times New Roman" w:cs="Times New Roman" w:hint="eastAsia"/>
                <w:color w:val="000000"/>
                <w:kern w:val="0"/>
                <w:sz w:val="32"/>
                <w:szCs w:val="32"/>
              </w:rPr>
              <w:t>臺東縣</w:t>
            </w:r>
            <w:r w:rsidR="00DB57FC">
              <w:rPr>
                <w:rFonts w:ascii="Times New Roman" w:eastAsia="標楷體" w:hAnsi="Times New Roman" w:cs="Times New Roman" w:hint="eastAsia"/>
                <w:color w:val="000000"/>
                <w:kern w:val="0"/>
                <w:sz w:val="32"/>
                <w:szCs w:val="32"/>
              </w:rPr>
              <w:t>金峰鄉</w:t>
            </w:r>
            <w:r w:rsidR="008A615B" w:rsidRPr="00C962D4">
              <w:rPr>
                <w:rFonts w:ascii="Times New Roman" w:eastAsia="標楷體" w:hAnsi="Times New Roman" w:cs="Times New Roman"/>
                <w:color w:val="000000"/>
                <w:kern w:val="0"/>
                <w:sz w:val="32"/>
                <w:szCs w:val="32"/>
              </w:rPr>
              <w:t>漁戶及漁戶人口數編製說明</w:t>
            </w:r>
          </w:p>
        </w:tc>
      </w:tr>
      <w:tr w:rsidR="008A615B" w:rsidRPr="008A615B" w14:paraId="3A16820B" w14:textId="77777777" w:rsidTr="00023650">
        <w:trPr>
          <w:trHeight w:val="285"/>
        </w:trPr>
        <w:tc>
          <w:tcPr>
            <w:tcW w:w="14049" w:type="dxa"/>
            <w:tcBorders>
              <w:top w:val="nil"/>
              <w:left w:val="nil"/>
              <w:bottom w:val="nil"/>
              <w:right w:val="nil"/>
            </w:tcBorders>
            <w:shd w:val="clear" w:color="auto" w:fill="auto"/>
            <w:noWrap/>
            <w:vAlign w:val="bottom"/>
            <w:hideMark/>
          </w:tcPr>
          <w:p w14:paraId="4FC455A5" w14:textId="77777777" w:rsidR="008A615B" w:rsidRPr="00C962D4" w:rsidRDefault="008A615B" w:rsidP="00DB57FC">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一、目的：明瞭本</w:t>
            </w:r>
            <w:r w:rsidRPr="00DB57FC">
              <w:rPr>
                <w:rFonts w:ascii="Times New Roman" w:eastAsia="標楷體" w:hAnsi="Times New Roman" w:cs="Times New Roman"/>
                <w:kern w:val="0"/>
                <w:sz w:val="26"/>
                <w:szCs w:val="26"/>
              </w:rPr>
              <w:t>鄉</w:t>
            </w:r>
            <w:r w:rsidRPr="00C962D4">
              <w:rPr>
                <w:rFonts w:ascii="Times New Roman" w:eastAsia="標楷體" w:hAnsi="Times New Roman" w:cs="Times New Roman"/>
                <w:color w:val="000000"/>
                <w:kern w:val="0"/>
                <w:sz w:val="26"/>
                <w:szCs w:val="26"/>
              </w:rPr>
              <w:t>漁戶及其家屬人口數量及其分佈情形</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以供漁業主管機關作為計算漁民所得，及其他漁業行政措施。</w:t>
            </w:r>
          </w:p>
        </w:tc>
      </w:tr>
      <w:tr w:rsidR="008A615B" w:rsidRPr="008A615B" w14:paraId="4D951C8D" w14:textId="77777777" w:rsidTr="00023650">
        <w:trPr>
          <w:trHeight w:val="285"/>
        </w:trPr>
        <w:tc>
          <w:tcPr>
            <w:tcW w:w="14049" w:type="dxa"/>
            <w:tcBorders>
              <w:top w:val="nil"/>
              <w:left w:val="nil"/>
              <w:bottom w:val="nil"/>
              <w:right w:val="nil"/>
            </w:tcBorders>
            <w:shd w:val="clear" w:color="auto" w:fill="auto"/>
            <w:noWrap/>
            <w:vAlign w:val="bottom"/>
            <w:hideMark/>
          </w:tcPr>
          <w:p w14:paraId="0C87B771"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二、統計範圍及對象：本調查以本鄉鎮市戶籍所在地之漁戶及漁戶人口數為準。</w:t>
            </w:r>
          </w:p>
        </w:tc>
      </w:tr>
      <w:tr w:rsidR="008A615B" w:rsidRPr="008A615B" w14:paraId="67DB064A" w14:textId="77777777" w:rsidTr="00023650">
        <w:trPr>
          <w:trHeight w:val="285"/>
        </w:trPr>
        <w:tc>
          <w:tcPr>
            <w:tcW w:w="14049" w:type="dxa"/>
            <w:tcBorders>
              <w:top w:val="nil"/>
              <w:left w:val="nil"/>
              <w:bottom w:val="nil"/>
              <w:right w:val="nil"/>
            </w:tcBorders>
            <w:shd w:val="clear" w:color="auto" w:fill="auto"/>
            <w:noWrap/>
            <w:vAlign w:val="bottom"/>
            <w:hideMark/>
          </w:tcPr>
          <w:p w14:paraId="6C753765"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三、統計標準時間：以每年十二月三十一日之事實為準。</w:t>
            </w:r>
          </w:p>
        </w:tc>
      </w:tr>
      <w:tr w:rsidR="008A615B" w:rsidRPr="00023650" w14:paraId="3C27CB1E" w14:textId="77777777" w:rsidTr="00023650">
        <w:trPr>
          <w:trHeight w:val="285"/>
        </w:trPr>
        <w:tc>
          <w:tcPr>
            <w:tcW w:w="14049" w:type="dxa"/>
            <w:tcBorders>
              <w:top w:val="nil"/>
              <w:left w:val="nil"/>
              <w:bottom w:val="nil"/>
              <w:right w:val="nil"/>
            </w:tcBorders>
            <w:shd w:val="clear" w:color="auto" w:fill="auto"/>
            <w:noWrap/>
            <w:vAlign w:val="bottom"/>
            <w:hideMark/>
          </w:tcPr>
          <w:p w14:paraId="588D349A"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四、分類標準：均分遠洋、近海、沿岸、海面養殖、內陸漁撈、內陸養殖等六類加以統計。</w:t>
            </w:r>
          </w:p>
        </w:tc>
      </w:tr>
      <w:tr w:rsidR="008A615B" w:rsidRPr="008A615B" w14:paraId="1275D86D" w14:textId="77777777" w:rsidTr="00023650">
        <w:trPr>
          <w:trHeight w:val="285"/>
        </w:trPr>
        <w:tc>
          <w:tcPr>
            <w:tcW w:w="14049" w:type="dxa"/>
            <w:tcBorders>
              <w:top w:val="nil"/>
              <w:left w:val="nil"/>
              <w:bottom w:val="nil"/>
              <w:right w:val="nil"/>
            </w:tcBorders>
            <w:shd w:val="clear" w:color="auto" w:fill="auto"/>
            <w:noWrap/>
            <w:vAlign w:val="bottom"/>
            <w:hideMark/>
          </w:tcPr>
          <w:p w14:paraId="5DA80933"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五、有關法令規章：根據統計法、漁業法、漁業法施行細則。</w:t>
            </w:r>
          </w:p>
        </w:tc>
      </w:tr>
      <w:tr w:rsidR="008A615B" w:rsidRPr="008A615B" w14:paraId="69F392F4" w14:textId="77777777" w:rsidTr="00023650">
        <w:trPr>
          <w:trHeight w:val="285"/>
        </w:trPr>
        <w:tc>
          <w:tcPr>
            <w:tcW w:w="14049" w:type="dxa"/>
            <w:tcBorders>
              <w:top w:val="nil"/>
              <w:left w:val="nil"/>
              <w:bottom w:val="nil"/>
              <w:right w:val="nil"/>
            </w:tcBorders>
            <w:shd w:val="clear" w:color="auto" w:fill="auto"/>
            <w:noWrap/>
            <w:vAlign w:val="bottom"/>
            <w:hideMark/>
          </w:tcPr>
          <w:p w14:paraId="4DFC7A7B"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六、統計項目定義</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或說明</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w:t>
            </w:r>
          </w:p>
        </w:tc>
      </w:tr>
      <w:tr w:rsidR="008A615B" w:rsidRPr="008A615B" w14:paraId="0FFE4BBE" w14:textId="77777777" w:rsidTr="00023650">
        <w:trPr>
          <w:trHeight w:val="612"/>
        </w:trPr>
        <w:tc>
          <w:tcPr>
            <w:tcW w:w="14049" w:type="dxa"/>
            <w:tcBorders>
              <w:top w:val="nil"/>
              <w:left w:val="nil"/>
              <w:bottom w:val="nil"/>
              <w:right w:val="nil"/>
            </w:tcBorders>
            <w:shd w:val="clear" w:color="auto" w:fill="auto"/>
            <w:vAlign w:val="bottom"/>
            <w:hideMark/>
          </w:tcPr>
          <w:p w14:paraId="4059856A" w14:textId="77777777" w:rsidR="00C962D4" w:rsidRPr="00C962D4" w:rsidRDefault="008A615B" w:rsidP="00C962D4">
            <w:pPr>
              <w:pStyle w:val="a3"/>
              <w:widowControl/>
              <w:numPr>
                <w:ilvl w:val="0"/>
                <w:numId w:val="2"/>
              </w:numPr>
              <w:ind w:leftChars="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漁戶：不論漁業經營者（僅投資漁業而未負實際經營責任者除外）</w:t>
            </w:r>
          </w:p>
          <w:p w14:paraId="45600721" w14:textId="77777777" w:rsidR="008A615B" w:rsidRPr="00C962D4" w:rsidRDefault="008A615B" w:rsidP="00C962D4">
            <w:pPr>
              <w:pStyle w:val="a3"/>
              <w:widowControl/>
              <w:ind w:leftChars="0" w:left="96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或被僱從事漁業者（限被僱直接從事漁撈或養殖工作者），凡其漁業收入達該戶總收入二分之一以上者為漁戶，戶籍登記者為準，漁戶中有兼營二種以上之漁業者，應以其收入最高之一種為準。</w:t>
            </w:r>
          </w:p>
        </w:tc>
      </w:tr>
      <w:tr w:rsidR="008A615B" w:rsidRPr="008A615B" w14:paraId="72982FBB" w14:textId="77777777" w:rsidTr="00023650">
        <w:trPr>
          <w:trHeight w:val="600"/>
        </w:trPr>
        <w:tc>
          <w:tcPr>
            <w:tcW w:w="14049" w:type="dxa"/>
            <w:tcBorders>
              <w:top w:val="nil"/>
              <w:left w:val="nil"/>
              <w:bottom w:val="nil"/>
              <w:right w:val="nil"/>
            </w:tcBorders>
            <w:shd w:val="clear" w:color="auto" w:fill="auto"/>
            <w:vAlign w:val="bottom"/>
            <w:hideMark/>
          </w:tcPr>
          <w:p w14:paraId="29AC67D4" w14:textId="77777777" w:rsidR="00C962D4" w:rsidRPr="00C962D4" w:rsidRDefault="008A615B" w:rsidP="00C962D4">
            <w:pPr>
              <w:pStyle w:val="a3"/>
              <w:widowControl/>
              <w:numPr>
                <w:ilvl w:val="0"/>
                <w:numId w:val="2"/>
              </w:numPr>
              <w:ind w:leftChars="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漁戶人口數：凡漁戶內之人口均視為漁戶人口數，如遠洋漁戶內</w:t>
            </w:r>
          </w:p>
          <w:p w14:paraId="56180582" w14:textId="77777777" w:rsidR="008A615B" w:rsidRPr="00C962D4" w:rsidRDefault="008A615B" w:rsidP="00C962D4">
            <w:pPr>
              <w:pStyle w:val="a3"/>
              <w:widowControl/>
              <w:ind w:leftChars="0" w:left="96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之人口，均列入遠洋漁戶人口計算。因就學或服役等關係，暫時遷出之人口，仍視為漁戶內人口；惟戶內如有共同居住，但未負共同生活義務之寄籍人口，則應予剔除。</w:t>
            </w:r>
          </w:p>
        </w:tc>
      </w:tr>
      <w:tr w:rsidR="008A615B" w:rsidRPr="008A615B" w14:paraId="708F5930" w14:textId="77777777" w:rsidTr="00023650">
        <w:trPr>
          <w:trHeight w:val="285"/>
        </w:trPr>
        <w:tc>
          <w:tcPr>
            <w:tcW w:w="14049" w:type="dxa"/>
            <w:tcBorders>
              <w:top w:val="nil"/>
              <w:left w:val="nil"/>
              <w:bottom w:val="nil"/>
              <w:right w:val="nil"/>
            </w:tcBorders>
            <w:shd w:val="clear" w:color="auto" w:fill="auto"/>
            <w:noWrap/>
            <w:vAlign w:val="bottom"/>
            <w:hideMark/>
          </w:tcPr>
          <w:p w14:paraId="536BFB2A"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七、一般說明：</w:t>
            </w:r>
          </w:p>
        </w:tc>
      </w:tr>
      <w:tr w:rsidR="008A615B" w:rsidRPr="008A615B" w14:paraId="5F93759E" w14:textId="77777777" w:rsidTr="00023650">
        <w:trPr>
          <w:trHeight w:val="285"/>
        </w:trPr>
        <w:tc>
          <w:tcPr>
            <w:tcW w:w="14049" w:type="dxa"/>
            <w:tcBorders>
              <w:top w:val="nil"/>
              <w:left w:val="nil"/>
              <w:bottom w:val="nil"/>
              <w:right w:val="nil"/>
            </w:tcBorders>
            <w:shd w:val="clear" w:color="auto" w:fill="auto"/>
            <w:noWrap/>
            <w:vAlign w:val="bottom"/>
            <w:hideMark/>
          </w:tcPr>
          <w:p w14:paraId="465D8BF6" w14:textId="77777777" w:rsidR="00C962D4" w:rsidRPr="00C962D4" w:rsidRDefault="008A615B" w:rsidP="00C962D4">
            <w:pPr>
              <w:pStyle w:val="a3"/>
              <w:widowControl/>
              <w:numPr>
                <w:ilvl w:val="0"/>
                <w:numId w:val="1"/>
              </w:numPr>
              <w:ind w:leftChars="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戶內如有共同居住，但未負共同生活義務之寄藉人口，如傭人，</w:t>
            </w:r>
          </w:p>
          <w:p w14:paraId="0DCF2A39" w14:textId="77777777" w:rsidR="008A615B" w:rsidRPr="00C962D4" w:rsidRDefault="008A615B" w:rsidP="00C962D4">
            <w:pPr>
              <w:pStyle w:val="a3"/>
              <w:widowControl/>
              <w:ind w:leftChars="0" w:left="975"/>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則應予除外。</w:t>
            </w:r>
          </w:p>
        </w:tc>
      </w:tr>
      <w:tr w:rsidR="008A615B" w:rsidRPr="008A615B" w14:paraId="178F9232" w14:textId="77777777" w:rsidTr="00023650">
        <w:trPr>
          <w:trHeight w:val="285"/>
        </w:trPr>
        <w:tc>
          <w:tcPr>
            <w:tcW w:w="14049" w:type="dxa"/>
            <w:tcBorders>
              <w:top w:val="nil"/>
              <w:left w:val="nil"/>
              <w:bottom w:val="nil"/>
              <w:right w:val="nil"/>
            </w:tcBorders>
            <w:shd w:val="clear" w:color="auto" w:fill="auto"/>
            <w:noWrap/>
            <w:vAlign w:val="bottom"/>
            <w:hideMark/>
          </w:tcPr>
          <w:p w14:paraId="37140EFB" w14:textId="77777777" w:rsidR="008A615B" w:rsidRPr="00C962D4" w:rsidRDefault="00C962D4" w:rsidP="00C962D4">
            <w:pPr>
              <w:widowControl/>
              <w:rPr>
                <w:rFonts w:ascii="Times New Roman" w:eastAsia="標楷體" w:hAnsi="Times New Roman" w:cs="Times New Roman"/>
                <w:color w:val="000000"/>
                <w:kern w:val="0"/>
                <w:sz w:val="26"/>
                <w:szCs w:val="26"/>
              </w:rPr>
            </w:pPr>
            <w:r>
              <w:rPr>
                <w:rFonts w:ascii="Times New Roman" w:eastAsia="標楷體" w:hAnsi="Times New Roman" w:cs="Times New Roman" w:hint="eastAsia"/>
                <w:color w:val="000000"/>
                <w:kern w:val="0"/>
                <w:sz w:val="26"/>
                <w:szCs w:val="26"/>
              </w:rPr>
              <w:t xml:space="preserve">    </w:t>
            </w:r>
            <w:r w:rsidR="008A615B" w:rsidRPr="00C962D4">
              <w:rPr>
                <w:rFonts w:ascii="Times New Roman" w:eastAsia="標楷體" w:hAnsi="Times New Roman" w:cs="Times New Roman"/>
                <w:color w:val="000000"/>
                <w:kern w:val="0"/>
                <w:sz w:val="26"/>
                <w:szCs w:val="26"/>
              </w:rPr>
              <w:t>(</w:t>
            </w:r>
            <w:r w:rsidR="008A615B" w:rsidRPr="00C962D4">
              <w:rPr>
                <w:rFonts w:ascii="Times New Roman" w:eastAsia="標楷體" w:hAnsi="Times New Roman" w:cs="Times New Roman"/>
                <w:color w:val="000000"/>
                <w:kern w:val="0"/>
                <w:sz w:val="26"/>
                <w:szCs w:val="26"/>
              </w:rPr>
              <w:t>二</w:t>
            </w:r>
            <w:r w:rsidR="008A615B" w:rsidRPr="00C962D4">
              <w:rPr>
                <w:rFonts w:ascii="Times New Roman" w:eastAsia="標楷體" w:hAnsi="Times New Roman" w:cs="Times New Roman"/>
                <w:color w:val="000000"/>
                <w:kern w:val="0"/>
                <w:sz w:val="26"/>
                <w:szCs w:val="26"/>
              </w:rPr>
              <w:t>)</w:t>
            </w:r>
            <w:r w:rsidR="008A615B" w:rsidRPr="00C962D4">
              <w:rPr>
                <w:rFonts w:ascii="Times New Roman" w:eastAsia="標楷體" w:hAnsi="Times New Roman" w:cs="Times New Roman"/>
                <w:color w:val="000000"/>
                <w:kern w:val="0"/>
                <w:sz w:val="26"/>
                <w:szCs w:val="26"/>
              </w:rPr>
              <w:t>因就學或服役等關係暫時遷出之人口，仍應視為其漁戶內之人口。</w:t>
            </w:r>
          </w:p>
        </w:tc>
      </w:tr>
      <w:tr w:rsidR="008A615B" w:rsidRPr="008A615B" w14:paraId="5F1C3F0A" w14:textId="77777777" w:rsidTr="00023650">
        <w:trPr>
          <w:trHeight w:val="285"/>
        </w:trPr>
        <w:tc>
          <w:tcPr>
            <w:tcW w:w="14049" w:type="dxa"/>
            <w:tcBorders>
              <w:top w:val="nil"/>
              <w:left w:val="nil"/>
              <w:bottom w:val="nil"/>
              <w:right w:val="nil"/>
            </w:tcBorders>
            <w:shd w:val="clear" w:color="auto" w:fill="auto"/>
            <w:noWrap/>
            <w:vAlign w:val="bottom"/>
            <w:hideMark/>
          </w:tcPr>
          <w:p w14:paraId="79E847ED"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八、資料蒐集方法及編製程序：根據本鄉鎮市漁民戶籍資料及漁業登記證</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逐項查記填表送由漁業主管單位予以彙編。</w:t>
            </w:r>
          </w:p>
        </w:tc>
      </w:tr>
      <w:tr w:rsidR="008A615B" w:rsidRPr="008A615B" w14:paraId="1B63A6CD" w14:textId="77777777" w:rsidTr="00023650">
        <w:trPr>
          <w:trHeight w:val="285"/>
        </w:trPr>
        <w:tc>
          <w:tcPr>
            <w:tcW w:w="14049" w:type="dxa"/>
            <w:tcBorders>
              <w:top w:val="nil"/>
              <w:left w:val="nil"/>
              <w:bottom w:val="nil"/>
              <w:right w:val="nil"/>
            </w:tcBorders>
            <w:shd w:val="clear" w:color="auto" w:fill="auto"/>
            <w:noWrap/>
            <w:vAlign w:val="bottom"/>
            <w:hideMark/>
          </w:tcPr>
          <w:p w14:paraId="59AB4ADB"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九、編送對象：本表編製一式</w:t>
            </w:r>
            <w:r w:rsidRPr="00C962D4">
              <w:rPr>
                <w:rFonts w:ascii="Times New Roman" w:eastAsia="標楷體" w:hAnsi="Times New Roman" w:cs="Times New Roman"/>
                <w:color w:val="000000"/>
                <w:kern w:val="0"/>
                <w:sz w:val="26"/>
                <w:szCs w:val="26"/>
              </w:rPr>
              <w:t>3</w:t>
            </w:r>
            <w:r w:rsidRPr="00C962D4">
              <w:rPr>
                <w:rFonts w:ascii="Times New Roman" w:eastAsia="標楷體" w:hAnsi="Times New Roman" w:cs="Times New Roman"/>
                <w:color w:val="000000"/>
                <w:kern w:val="0"/>
                <w:sz w:val="26"/>
                <w:szCs w:val="26"/>
              </w:rPr>
              <w:t>份，先送主計室會核後抽存</w:t>
            </w:r>
            <w:r w:rsidRPr="00C962D4">
              <w:rPr>
                <w:rFonts w:ascii="Times New Roman" w:eastAsia="標楷體" w:hAnsi="Times New Roman" w:cs="Times New Roman"/>
                <w:color w:val="000000"/>
                <w:kern w:val="0"/>
                <w:sz w:val="26"/>
                <w:szCs w:val="26"/>
              </w:rPr>
              <w:t>1</w:t>
            </w:r>
            <w:r w:rsidRPr="00C962D4">
              <w:rPr>
                <w:rFonts w:ascii="Times New Roman" w:eastAsia="標楷體" w:hAnsi="Times New Roman" w:cs="Times New Roman"/>
                <w:color w:val="000000"/>
                <w:kern w:val="0"/>
                <w:sz w:val="26"/>
                <w:szCs w:val="26"/>
              </w:rPr>
              <w:t>份，</w:t>
            </w:r>
            <w:r w:rsidRPr="00C962D4">
              <w:rPr>
                <w:rFonts w:ascii="Times New Roman" w:eastAsia="標楷體" w:hAnsi="Times New Roman" w:cs="Times New Roman"/>
                <w:color w:val="000000"/>
                <w:kern w:val="0"/>
                <w:sz w:val="26"/>
                <w:szCs w:val="26"/>
              </w:rPr>
              <w:t>1</w:t>
            </w:r>
            <w:r w:rsidRPr="00C962D4">
              <w:rPr>
                <w:rFonts w:ascii="Times New Roman" w:eastAsia="標楷體" w:hAnsi="Times New Roman" w:cs="Times New Roman"/>
                <w:color w:val="000000"/>
                <w:kern w:val="0"/>
                <w:sz w:val="26"/>
                <w:szCs w:val="26"/>
              </w:rPr>
              <w:t>份自存，</w:t>
            </w:r>
            <w:r w:rsidRPr="00C962D4">
              <w:rPr>
                <w:rFonts w:ascii="Times New Roman" w:eastAsia="標楷體" w:hAnsi="Times New Roman" w:cs="Times New Roman"/>
                <w:color w:val="000000"/>
                <w:kern w:val="0"/>
                <w:sz w:val="26"/>
                <w:szCs w:val="26"/>
              </w:rPr>
              <w:t>1</w:t>
            </w:r>
            <w:r w:rsidRPr="00C962D4">
              <w:rPr>
                <w:rFonts w:ascii="Times New Roman" w:eastAsia="標楷體" w:hAnsi="Times New Roman" w:cs="Times New Roman"/>
                <w:color w:val="000000"/>
                <w:kern w:val="0"/>
                <w:sz w:val="26"/>
                <w:szCs w:val="26"/>
              </w:rPr>
              <w:t>份送</w:t>
            </w:r>
            <w:r w:rsidR="00C962D4">
              <w:rPr>
                <w:rFonts w:ascii="Times New Roman" w:eastAsia="標楷體" w:hAnsi="Times New Roman" w:cs="Times New Roman" w:hint="eastAsia"/>
                <w:color w:val="000000"/>
                <w:kern w:val="0"/>
                <w:sz w:val="26"/>
                <w:szCs w:val="26"/>
              </w:rPr>
              <w:t>臺東縣政府農業處</w:t>
            </w:r>
            <w:r w:rsidRPr="00C962D4">
              <w:rPr>
                <w:rFonts w:ascii="Times New Roman" w:eastAsia="標楷體" w:hAnsi="Times New Roman" w:cs="Times New Roman"/>
                <w:color w:val="000000"/>
                <w:kern w:val="0"/>
                <w:sz w:val="26"/>
                <w:szCs w:val="26"/>
              </w:rPr>
              <w:t>。</w:t>
            </w:r>
          </w:p>
        </w:tc>
      </w:tr>
      <w:tr w:rsidR="008A615B" w:rsidRPr="008A615B" w14:paraId="5ABB18E5" w14:textId="77777777" w:rsidTr="00023650">
        <w:trPr>
          <w:trHeight w:val="285"/>
        </w:trPr>
        <w:tc>
          <w:tcPr>
            <w:tcW w:w="14049" w:type="dxa"/>
            <w:tcBorders>
              <w:top w:val="nil"/>
              <w:left w:val="nil"/>
              <w:bottom w:val="nil"/>
              <w:right w:val="nil"/>
            </w:tcBorders>
            <w:shd w:val="clear" w:color="auto" w:fill="auto"/>
            <w:noWrap/>
            <w:vAlign w:val="bottom"/>
            <w:hideMark/>
          </w:tcPr>
          <w:p w14:paraId="5902C7E2"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十、統計用途：作為編製本鄉統計年報等書刊重要資料之一並提供各級長官及有關單位作為決策之參據。</w:t>
            </w:r>
          </w:p>
        </w:tc>
      </w:tr>
    </w:tbl>
    <w:p w14:paraId="56B6E354" w14:textId="2818E97E" w:rsidR="0072068F" w:rsidRDefault="0072068F"/>
    <w:p w14:paraId="5EC24869" w14:textId="5E60C27A" w:rsidR="00C820C9" w:rsidRDefault="00C820C9"/>
    <w:p w14:paraId="4111B676" w14:textId="77777777" w:rsidR="00C820C9" w:rsidRPr="008A615B" w:rsidRDefault="00C820C9">
      <w:pPr>
        <w:rPr>
          <w:rFonts w:hint="eastAsia"/>
        </w:rPr>
      </w:pPr>
    </w:p>
    <w:sectPr w:rsidR="00C820C9" w:rsidRPr="008A615B" w:rsidSect="00C820C9">
      <w:headerReference w:type="even" r:id="rId7"/>
      <w:headerReference w:type="default" r:id="rId8"/>
      <w:footerReference w:type="even" r:id="rId9"/>
      <w:footerReference w:type="default" r:id="rId10"/>
      <w:headerReference w:type="first" r:id="rId11"/>
      <w:footerReference w:type="first" r:id="rId12"/>
      <w:pgSz w:w="16838" w:h="11906" w:orient="landscape"/>
      <w:pgMar w:top="1797" w:right="1440" w:bottom="1134" w:left="1440" w:header="851" w:footer="992" w:gutter="0"/>
      <w:pgNumType w:start="5"/>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6A93F" w14:textId="77777777" w:rsidR="003B370C" w:rsidRDefault="003B370C" w:rsidP="00C820C9">
      <w:r>
        <w:separator/>
      </w:r>
    </w:p>
  </w:endnote>
  <w:endnote w:type="continuationSeparator" w:id="0">
    <w:p w14:paraId="740F05FE" w14:textId="77777777" w:rsidR="003B370C" w:rsidRDefault="003B370C" w:rsidP="00C82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C9C0F" w14:textId="77777777" w:rsidR="00C820C9" w:rsidRDefault="00C820C9">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1963815"/>
      <w:docPartObj>
        <w:docPartGallery w:val="Page Numbers (Bottom of Page)"/>
        <w:docPartUnique/>
      </w:docPartObj>
    </w:sdtPr>
    <w:sdtContent>
      <w:p w14:paraId="4FECD893" w14:textId="1B3E7BDA" w:rsidR="00C820C9" w:rsidRDefault="00C820C9" w:rsidP="00C820C9">
        <w:pPr>
          <w:pStyle w:val="a6"/>
          <w:jc w:val="center"/>
        </w:pPr>
        <w:r>
          <w:t>10-</w:t>
        </w:r>
        <w:bookmarkStart w:id="0" w:name="_GoBack"/>
        <w:bookmarkEnd w:id="0"/>
        <w:r>
          <w:fldChar w:fldCharType="begin"/>
        </w:r>
        <w:r>
          <w:instrText>PAGE   \* MERGEFORMAT</w:instrText>
        </w:r>
        <w:r>
          <w:fldChar w:fldCharType="separate"/>
        </w:r>
        <w:r w:rsidRPr="00C820C9">
          <w:rPr>
            <w:noProof/>
            <w:lang w:val="zh-TW"/>
          </w:rPr>
          <w:t>5</w:t>
        </w:r>
        <w:r>
          <w:fldChar w:fldCharType="end"/>
        </w:r>
      </w:p>
    </w:sdtContent>
  </w:sdt>
  <w:p w14:paraId="164BCD6B" w14:textId="77777777" w:rsidR="00C820C9" w:rsidRDefault="00C820C9">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404E6" w14:textId="77777777" w:rsidR="00C820C9" w:rsidRDefault="00C820C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D31CF" w14:textId="77777777" w:rsidR="003B370C" w:rsidRDefault="003B370C" w:rsidP="00C820C9">
      <w:r>
        <w:separator/>
      </w:r>
    </w:p>
  </w:footnote>
  <w:footnote w:type="continuationSeparator" w:id="0">
    <w:p w14:paraId="780469F1" w14:textId="77777777" w:rsidR="003B370C" w:rsidRDefault="003B370C" w:rsidP="00C820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7845B" w14:textId="77777777" w:rsidR="00C820C9" w:rsidRDefault="00C820C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A9198" w14:textId="77777777" w:rsidR="00C820C9" w:rsidRDefault="00C820C9">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E44BD" w14:textId="77777777" w:rsidR="00C820C9" w:rsidRDefault="00C820C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B5F47"/>
    <w:multiLevelType w:val="hybridMultilevel"/>
    <w:tmpl w:val="D592CB08"/>
    <w:lvl w:ilvl="0" w:tplc="A2CE3D4C">
      <w:start w:val="1"/>
      <w:numFmt w:val="taiwaneseCountingThousand"/>
      <w:lvlText w:val="(%1)"/>
      <w:lvlJc w:val="left"/>
      <w:pPr>
        <w:ind w:left="960" w:hanging="450"/>
      </w:pPr>
      <w:rPr>
        <w:rFonts w:hint="default"/>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1" w15:restartNumberingAfterBreak="0">
    <w:nsid w:val="291257F9"/>
    <w:multiLevelType w:val="hybridMultilevel"/>
    <w:tmpl w:val="688C5CE6"/>
    <w:lvl w:ilvl="0" w:tplc="B8E6E0DE">
      <w:start w:val="1"/>
      <w:numFmt w:val="taiwaneseCountingThousand"/>
      <w:lvlText w:val="(%1)"/>
      <w:lvlJc w:val="left"/>
      <w:pPr>
        <w:ind w:left="975" w:hanging="450"/>
      </w:pPr>
      <w:rPr>
        <w:rFonts w:hint="default"/>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15B"/>
    <w:rsid w:val="00023650"/>
    <w:rsid w:val="003B370C"/>
    <w:rsid w:val="0072068F"/>
    <w:rsid w:val="008A615B"/>
    <w:rsid w:val="00C820C9"/>
    <w:rsid w:val="00C962D4"/>
    <w:rsid w:val="00DB57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B5DB8"/>
  <w15:docId w15:val="{0A3D95AC-9937-459B-BF43-6C9CD8C5A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62D4"/>
    <w:pPr>
      <w:ind w:leftChars="200" w:left="480"/>
    </w:pPr>
  </w:style>
  <w:style w:type="paragraph" w:styleId="a4">
    <w:name w:val="header"/>
    <w:basedOn w:val="a"/>
    <w:link w:val="a5"/>
    <w:uiPriority w:val="99"/>
    <w:unhideWhenUsed/>
    <w:rsid w:val="00C820C9"/>
    <w:pPr>
      <w:tabs>
        <w:tab w:val="center" w:pos="4153"/>
        <w:tab w:val="right" w:pos="8306"/>
      </w:tabs>
      <w:snapToGrid w:val="0"/>
    </w:pPr>
    <w:rPr>
      <w:sz w:val="20"/>
      <w:szCs w:val="20"/>
    </w:rPr>
  </w:style>
  <w:style w:type="character" w:customStyle="1" w:styleId="a5">
    <w:name w:val="頁首 字元"/>
    <w:basedOn w:val="a0"/>
    <w:link w:val="a4"/>
    <w:uiPriority w:val="99"/>
    <w:rsid w:val="00C820C9"/>
    <w:rPr>
      <w:sz w:val="20"/>
      <w:szCs w:val="20"/>
    </w:rPr>
  </w:style>
  <w:style w:type="paragraph" w:styleId="a6">
    <w:name w:val="footer"/>
    <w:basedOn w:val="a"/>
    <w:link w:val="a7"/>
    <w:uiPriority w:val="99"/>
    <w:unhideWhenUsed/>
    <w:rsid w:val="00C820C9"/>
    <w:pPr>
      <w:tabs>
        <w:tab w:val="center" w:pos="4153"/>
        <w:tab w:val="right" w:pos="8306"/>
      </w:tabs>
      <w:snapToGrid w:val="0"/>
    </w:pPr>
    <w:rPr>
      <w:sz w:val="20"/>
      <w:szCs w:val="20"/>
    </w:rPr>
  </w:style>
  <w:style w:type="character" w:customStyle="1" w:styleId="a7">
    <w:name w:val="頁尾 字元"/>
    <w:basedOn w:val="a0"/>
    <w:link w:val="a6"/>
    <w:uiPriority w:val="99"/>
    <w:rsid w:val="00C820C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2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2023-08-23T10:40:00Z</dcterms:created>
  <dcterms:modified xsi:type="dcterms:W3CDTF">2023-10-18T02:26:00Z</dcterms:modified>
</cp:coreProperties>
</file>